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仇志建</w:t>
      </w:r>
      <w:r>
        <w:rPr>
          <w:rFonts w:hint="eastAsia"/>
          <w:sz w:val="15"/>
          <w:szCs w:val="15"/>
          <w:highlight w:val="none"/>
        </w:rPr>
        <w:t>，</w:t>
      </w:r>
      <w:r>
        <w:rPr>
          <w:rFonts w:hint="eastAsia"/>
          <w:sz w:val="15"/>
          <w:szCs w:val="15"/>
          <w:highlight w:val="none"/>
          <w:lang w:val="en-US" w:eastAsia="zh-CN"/>
        </w:rPr>
        <w:t>132335197905060876</w:t>
      </w:r>
      <w:r>
        <w:rPr>
          <w:rFonts w:hint="eastAsia"/>
          <w:sz w:val="15"/>
          <w:szCs w:val="15"/>
        </w:rPr>
        <w:t xml:space="preserve">  </w:t>
      </w:r>
      <w:r>
        <w:rPr>
          <w:rFonts w:hint="eastAsia"/>
          <w:sz w:val="15"/>
          <w:szCs w:val="15"/>
          <w:lang w:val="en-US" w:eastAsia="zh-CN"/>
        </w:rPr>
        <w:t>冀AKP613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