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张旭</w:t>
      </w:r>
      <w:r>
        <w:rPr>
          <w:rFonts w:hint="eastAsia"/>
          <w:sz w:val="15"/>
          <w:szCs w:val="15"/>
          <w:highlight w:val="none"/>
        </w:rPr>
        <w:t>，</w:t>
      </w:r>
      <w:r>
        <w:rPr>
          <w:rFonts w:hint="eastAsia"/>
          <w:sz w:val="15"/>
          <w:szCs w:val="15"/>
          <w:highlight w:val="none"/>
          <w:lang w:val="en-US" w:eastAsia="zh-CN"/>
        </w:rPr>
        <w:t>132335197810250415</w:t>
      </w:r>
      <w:r>
        <w:rPr>
          <w:rFonts w:hint="eastAsia"/>
          <w:sz w:val="15"/>
          <w:szCs w:val="15"/>
        </w:rPr>
        <w:t xml:space="preserve">  </w:t>
      </w:r>
      <w:r>
        <w:rPr>
          <w:rFonts w:hint="eastAsia"/>
          <w:sz w:val="15"/>
          <w:szCs w:val="15"/>
          <w:lang w:val="en-US" w:eastAsia="zh-CN"/>
        </w:rPr>
        <w:t>沪A03691A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