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白彦朝</w:t>
      </w:r>
      <w:r>
        <w:rPr>
          <w:rFonts w:hint="eastAsia"/>
          <w:sz w:val="15"/>
          <w:szCs w:val="15"/>
          <w:highlight w:val="none"/>
        </w:rPr>
        <w:t>，</w:t>
      </w:r>
      <w:r>
        <w:rPr>
          <w:rFonts w:hint="eastAsia"/>
          <w:sz w:val="15"/>
          <w:szCs w:val="15"/>
          <w:highlight w:val="none"/>
          <w:lang w:val="en-US" w:eastAsia="zh-CN"/>
        </w:rPr>
        <w:t>13233519780925091X</w:t>
      </w:r>
      <w:r>
        <w:rPr>
          <w:rFonts w:hint="eastAsia"/>
          <w:sz w:val="15"/>
          <w:szCs w:val="15"/>
        </w:rPr>
        <w:t xml:space="preserve">  </w:t>
      </w:r>
      <w:r>
        <w:rPr>
          <w:rFonts w:hint="eastAsia"/>
          <w:sz w:val="15"/>
          <w:szCs w:val="15"/>
          <w:lang w:val="en-US" w:eastAsia="zh-CN"/>
        </w:rPr>
        <w:t>冀A97098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