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焦文静</w:t>
      </w:r>
      <w:r>
        <w:rPr>
          <w:rFonts w:hint="eastAsia"/>
          <w:sz w:val="15"/>
          <w:szCs w:val="15"/>
          <w:highlight w:val="none"/>
        </w:rPr>
        <w:t>，</w:t>
      </w:r>
      <w:r>
        <w:rPr>
          <w:rFonts w:hint="eastAsia"/>
          <w:sz w:val="15"/>
          <w:szCs w:val="15"/>
          <w:highlight w:val="none"/>
          <w:lang w:val="en-US" w:eastAsia="zh-CN"/>
        </w:rPr>
        <w:t>132335197809070863</w:t>
      </w:r>
      <w:r>
        <w:rPr>
          <w:rFonts w:hint="eastAsia"/>
          <w:sz w:val="15"/>
          <w:szCs w:val="15"/>
        </w:rPr>
        <w:t xml:space="preserve">  </w:t>
      </w:r>
      <w:r>
        <w:rPr>
          <w:rFonts w:hint="eastAsia"/>
          <w:sz w:val="15"/>
          <w:szCs w:val="15"/>
          <w:lang w:val="en-US" w:eastAsia="zh-CN"/>
        </w:rPr>
        <w:t>冀AKD541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