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郭建华</w:t>
      </w:r>
      <w:r>
        <w:rPr>
          <w:rFonts w:hint="eastAsia"/>
          <w:sz w:val="15"/>
          <w:szCs w:val="15"/>
          <w:highlight w:val="none"/>
        </w:rPr>
        <w:t>，</w:t>
      </w:r>
      <w:r>
        <w:rPr>
          <w:rFonts w:hint="eastAsia"/>
          <w:sz w:val="15"/>
          <w:szCs w:val="15"/>
          <w:highlight w:val="none"/>
          <w:lang w:val="en-US" w:eastAsia="zh-CN"/>
        </w:rPr>
        <w:t>132335197712090091</w:t>
      </w:r>
      <w:r>
        <w:rPr>
          <w:rFonts w:hint="eastAsia"/>
          <w:sz w:val="15"/>
          <w:szCs w:val="15"/>
        </w:rPr>
        <w:t xml:space="preserve">  </w:t>
      </w:r>
      <w:r>
        <w:rPr>
          <w:rFonts w:hint="eastAsia"/>
          <w:sz w:val="15"/>
          <w:szCs w:val="15"/>
          <w:lang w:val="en-US" w:eastAsia="zh-CN"/>
        </w:rPr>
        <w:t>冀A086AD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