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李朝朝</w:t>
      </w:r>
      <w:r>
        <w:rPr>
          <w:rFonts w:hint="eastAsia"/>
          <w:sz w:val="15"/>
          <w:szCs w:val="15"/>
          <w:highlight w:val="none"/>
        </w:rPr>
        <w:t>，</w:t>
      </w:r>
      <w:r>
        <w:rPr>
          <w:rFonts w:hint="eastAsia"/>
          <w:sz w:val="15"/>
          <w:szCs w:val="15"/>
          <w:highlight w:val="none"/>
          <w:lang w:val="en-US" w:eastAsia="zh-CN"/>
        </w:rPr>
        <w:t>132335197709042275</w:t>
      </w:r>
      <w:r>
        <w:rPr>
          <w:rFonts w:hint="eastAsia"/>
          <w:sz w:val="15"/>
          <w:szCs w:val="15"/>
        </w:rPr>
        <w:t xml:space="preserve">  </w:t>
      </w:r>
      <w:r>
        <w:rPr>
          <w:rFonts w:hint="eastAsia"/>
          <w:sz w:val="15"/>
          <w:szCs w:val="15"/>
          <w:lang w:val="en-US" w:eastAsia="zh-CN"/>
        </w:rPr>
        <w:t>冀A692KC</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