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刘利琴</w:t>
      </w:r>
      <w:r>
        <w:rPr>
          <w:rFonts w:hint="eastAsia"/>
          <w:sz w:val="15"/>
          <w:szCs w:val="15"/>
          <w:highlight w:val="none"/>
        </w:rPr>
        <w:t>，</w:t>
      </w:r>
      <w:r>
        <w:rPr>
          <w:rFonts w:hint="eastAsia"/>
          <w:sz w:val="15"/>
          <w:szCs w:val="15"/>
          <w:highlight w:val="none"/>
          <w:lang w:val="en-US" w:eastAsia="zh-CN"/>
        </w:rPr>
        <w:t>132335197706141323</w:t>
      </w:r>
      <w:r>
        <w:rPr>
          <w:rFonts w:hint="eastAsia"/>
          <w:sz w:val="15"/>
          <w:szCs w:val="15"/>
        </w:rPr>
        <w:t xml:space="preserve">  </w:t>
      </w:r>
      <w:r>
        <w:rPr>
          <w:rFonts w:hint="eastAsia"/>
          <w:sz w:val="15"/>
          <w:szCs w:val="15"/>
          <w:lang w:val="en-US" w:eastAsia="zh-CN"/>
        </w:rPr>
        <w:t>冀A34518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