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王海龙</w:t>
      </w:r>
      <w:r>
        <w:rPr>
          <w:rFonts w:hint="eastAsia"/>
          <w:sz w:val="15"/>
          <w:szCs w:val="15"/>
          <w:highlight w:val="none"/>
        </w:rPr>
        <w:t>，</w:t>
      </w:r>
      <w:r>
        <w:rPr>
          <w:rFonts w:hint="eastAsia"/>
          <w:sz w:val="15"/>
          <w:szCs w:val="15"/>
          <w:highlight w:val="none"/>
          <w:lang w:val="en-US" w:eastAsia="zh-CN"/>
        </w:rPr>
        <w:t>132335197703201175</w:t>
      </w:r>
      <w:r>
        <w:rPr>
          <w:rFonts w:hint="eastAsia"/>
          <w:sz w:val="15"/>
          <w:szCs w:val="15"/>
        </w:rPr>
        <w:t xml:space="preserve">  </w:t>
      </w:r>
      <w:r>
        <w:rPr>
          <w:rFonts w:hint="eastAsia"/>
          <w:sz w:val="15"/>
          <w:szCs w:val="15"/>
          <w:lang w:val="en-US" w:eastAsia="zh-CN"/>
        </w:rPr>
        <w:t>冀A37671D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