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田进明</w:t>
      </w:r>
      <w:r>
        <w:rPr>
          <w:rFonts w:hint="eastAsia"/>
          <w:sz w:val="15"/>
          <w:szCs w:val="15"/>
          <w:highlight w:val="none"/>
        </w:rPr>
        <w:t>，</w:t>
      </w:r>
      <w:r>
        <w:rPr>
          <w:rFonts w:hint="eastAsia"/>
          <w:sz w:val="15"/>
          <w:szCs w:val="15"/>
          <w:highlight w:val="none"/>
          <w:lang w:val="en-US" w:eastAsia="zh-CN"/>
        </w:rPr>
        <w:t>132335197611060010</w:t>
      </w:r>
      <w:r>
        <w:rPr>
          <w:rFonts w:hint="eastAsia"/>
          <w:sz w:val="15"/>
          <w:szCs w:val="15"/>
        </w:rPr>
        <w:t xml:space="preserve">  </w:t>
      </w:r>
      <w:r>
        <w:rPr>
          <w:rFonts w:hint="eastAsia"/>
          <w:sz w:val="15"/>
          <w:szCs w:val="15"/>
          <w:lang w:val="en-US" w:eastAsia="zh-CN"/>
        </w:rPr>
        <w:t>沪A12936A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