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康进军</w:t>
      </w:r>
      <w:r>
        <w:rPr>
          <w:rFonts w:hint="eastAsia"/>
          <w:sz w:val="15"/>
          <w:szCs w:val="15"/>
          <w:highlight w:val="none"/>
        </w:rPr>
        <w:t>，</w:t>
      </w:r>
      <w:r>
        <w:rPr>
          <w:rFonts w:hint="eastAsia"/>
          <w:sz w:val="15"/>
          <w:szCs w:val="15"/>
          <w:highlight w:val="none"/>
          <w:lang w:val="en-US" w:eastAsia="zh-CN"/>
        </w:rPr>
        <w:t>132335197609250018</w:t>
      </w:r>
      <w:r>
        <w:rPr>
          <w:rFonts w:hint="eastAsia"/>
          <w:sz w:val="15"/>
          <w:szCs w:val="15"/>
        </w:rPr>
        <w:t xml:space="preserve">  </w:t>
      </w:r>
      <w:r>
        <w:rPr>
          <w:rFonts w:hint="eastAsia"/>
          <w:sz w:val="15"/>
          <w:szCs w:val="15"/>
          <w:lang w:val="en-US" w:eastAsia="zh-CN"/>
        </w:rPr>
        <w:t>冀ALW179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