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薛国亮</w:t>
      </w:r>
      <w:r>
        <w:rPr>
          <w:rFonts w:hint="eastAsia"/>
          <w:sz w:val="15"/>
          <w:szCs w:val="15"/>
          <w:highlight w:val="none"/>
        </w:rPr>
        <w:t>，</w:t>
      </w:r>
      <w:r>
        <w:rPr>
          <w:rFonts w:hint="eastAsia"/>
          <w:sz w:val="15"/>
          <w:szCs w:val="15"/>
          <w:highlight w:val="none"/>
          <w:lang w:val="en-US" w:eastAsia="zh-CN"/>
        </w:rPr>
        <w:t>132335197503290572</w:t>
      </w:r>
      <w:r>
        <w:rPr>
          <w:rFonts w:hint="eastAsia"/>
          <w:sz w:val="15"/>
          <w:szCs w:val="15"/>
        </w:rPr>
        <w:t xml:space="preserve">  </w:t>
      </w:r>
      <w:r>
        <w:rPr>
          <w:rFonts w:hint="eastAsia"/>
          <w:sz w:val="15"/>
          <w:szCs w:val="15"/>
          <w:lang w:val="en-US" w:eastAsia="zh-CN"/>
        </w:rPr>
        <w:t>冀A7Q702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