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陈国栋</w:t>
      </w:r>
      <w:r>
        <w:rPr>
          <w:rFonts w:hint="eastAsia"/>
          <w:sz w:val="15"/>
          <w:szCs w:val="15"/>
          <w:highlight w:val="none"/>
        </w:rPr>
        <w:t>，</w:t>
      </w:r>
      <w:r>
        <w:rPr>
          <w:rFonts w:hint="eastAsia"/>
          <w:sz w:val="15"/>
          <w:szCs w:val="15"/>
          <w:highlight w:val="none"/>
          <w:lang w:val="en-US" w:eastAsia="zh-CN"/>
        </w:rPr>
        <w:t>132335197412281013</w:t>
      </w:r>
      <w:r>
        <w:rPr>
          <w:rFonts w:hint="eastAsia"/>
          <w:sz w:val="15"/>
          <w:szCs w:val="15"/>
        </w:rPr>
        <w:t xml:space="preserve">  </w:t>
      </w:r>
      <w:r>
        <w:rPr>
          <w:rFonts w:hint="eastAsia"/>
          <w:sz w:val="15"/>
          <w:szCs w:val="15"/>
          <w:lang w:val="en-US" w:eastAsia="zh-CN"/>
        </w:rPr>
        <w:t>冀AXE451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