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赵霞霞</w:t>
      </w:r>
      <w:r>
        <w:rPr>
          <w:rFonts w:hint="eastAsia"/>
          <w:sz w:val="15"/>
          <w:szCs w:val="15"/>
          <w:highlight w:val="none"/>
        </w:rPr>
        <w:t>，</w:t>
      </w:r>
      <w:r>
        <w:rPr>
          <w:rFonts w:hint="eastAsia"/>
          <w:sz w:val="15"/>
          <w:szCs w:val="15"/>
          <w:highlight w:val="none"/>
          <w:lang w:val="en-US" w:eastAsia="zh-CN"/>
        </w:rPr>
        <w:t>132335197312211325</w:t>
      </w:r>
      <w:r>
        <w:rPr>
          <w:rFonts w:hint="eastAsia"/>
          <w:sz w:val="15"/>
          <w:szCs w:val="15"/>
        </w:rPr>
        <w:t xml:space="preserve">  </w:t>
      </w:r>
      <w:r>
        <w:rPr>
          <w:rFonts w:hint="eastAsia"/>
          <w:sz w:val="15"/>
          <w:szCs w:val="15"/>
          <w:lang w:val="en-US" w:eastAsia="zh-CN"/>
        </w:rPr>
        <w:t>冀AKM876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