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李四卫</w:t>
      </w:r>
      <w:r>
        <w:rPr>
          <w:rFonts w:hint="eastAsia"/>
          <w:sz w:val="15"/>
          <w:szCs w:val="15"/>
          <w:highlight w:val="none"/>
        </w:rPr>
        <w:t>，</w:t>
      </w:r>
      <w:r>
        <w:rPr>
          <w:rFonts w:hint="eastAsia"/>
          <w:sz w:val="15"/>
          <w:szCs w:val="15"/>
          <w:highlight w:val="none"/>
          <w:lang w:val="en-US" w:eastAsia="zh-CN"/>
        </w:rPr>
        <w:t>132335197301202271</w:t>
      </w:r>
      <w:r>
        <w:rPr>
          <w:rFonts w:hint="eastAsia"/>
          <w:sz w:val="15"/>
          <w:szCs w:val="15"/>
        </w:rPr>
        <w:t xml:space="preserve">  </w:t>
      </w:r>
      <w:r>
        <w:rPr>
          <w:rFonts w:hint="eastAsia"/>
          <w:sz w:val="15"/>
          <w:szCs w:val="15"/>
          <w:lang w:val="en-US" w:eastAsia="zh-CN"/>
        </w:rPr>
        <w:t>冀ADT463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