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张建龙</w:t>
      </w:r>
      <w:r>
        <w:rPr>
          <w:rFonts w:hint="eastAsia"/>
          <w:sz w:val="15"/>
          <w:szCs w:val="15"/>
          <w:highlight w:val="none"/>
        </w:rPr>
        <w:t>，</w:t>
      </w:r>
      <w:r>
        <w:rPr>
          <w:rFonts w:hint="eastAsia"/>
          <w:sz w:val="15"/>
          <w:szCs w:val="15"/>
          <w:highlight w:val="none"/>
          <w:lang w:val="en-US" w:eastAsia="zh-CN"/>
        </w:rPr>
        <w:t>132335197109290419</w:t>
      </w:r>
      <w:r>
        <w:rPr>
          <w:rFonts w:hint="eastAsia"/>
          <w:sz w:val="15"/>
          <w:szCs w:val="15"/>
        </w:rPr>
        <w:t xml:space="preserve">  </w:t>
      </w:r>
      <w:r>
        <w:rPr>
          <w:rFonts w:hint="eastAsia"/>
          <w:sz w:val="15"/>
          <w:szCs w:val="15"/>
          <w:lang w:val="en-US" w:eastAsia="zh-CN"/>
        </w:rPr>
        <w:t>冀A08646D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