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张增琴</w:t>
      </w:r>
      <w:r>
        <w:rPr>
          <w:rFonts w:hint="eastAsia"/>
          <w:sz w:val="15"/>
          <w:szCs w:val="15"/>
          <w:highlight w:val="none"/>
        </w:rPr>
        <w:t>，</w:t>
      </w:r>
      <w:r>
        <w:rPr>
          <w:rFonts w:hint="eastAsia"/>
          <w:sz w:val="15"/>
          <w:szCs w:val="15"/>
          <w:highlight w:val="none"/>
          <w:lang w:val="en-US" w:eastAsia="zh-CN"/>
        </w:rPr>
        <w:t>132335196512220862</w:t>
      </w:r>
      <w:r>
        <w:rPr>
          <w:rFonts w:hint="eastAsia"/>
          <w:sz w:val="15"/>
          <w:szCs w:val="15"/>
        </w:rPr>
        <w:t xml:space="preserve">  </w:t>
      </w:r>
      <w:r>
        <w:rPr>
          <w:rFonts w:hint="eastAsia"/>
          <w:sz w:val="15"/>
          <w:szCs w:val="15"/>
          <w:lang w:val="en-US" w:eastAsia="zh-CN"/>
        </w:rPr>
        <w:t>晋A01814D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