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冀国亮</w:t>
      </w:r>
      <w:r>
        <w:rPr>
          <w:rFonts w:hint="eastAsia"/>
          <w:sz w:val="15"/>
          <w:szCs w:val="15"/>
          <w:highlight w:val="none"/>
        </w:rPr>
        <w:t>，</w:t>
      </w:r>
      <w:r>
        <w:rPr>
          <w:rFonts w:hint="eastAsia"/>
          <w:sz w:val="15"/>
          <w:szCs w:val="15"/>
          <w:highlight w:val="none"/>
          <w:lang w:val="en-US" w:eastAsia="zh-CN"/>
        </w:rPr>
        <w:t>132335196502181193</w:t>
      </w:r>
      <w:r>
        <w:rPr>
          <w:rFonts w:hint="eastAsia"/>
          <w:sz w:val="15"/>
          <w:szCs w:val="15"/>
        </w:rPr>
        <w:t xml:space="preserve">  </w:t>
      </w:r>
      <w:r>
        <w:rPr>
          <w:rFonts w:hint="eastAsia"/>
          <w:sz w:val="15"/>
          <w:szCs w:val="15"/>
          <w:lang w:val="en-US" w:eastAsia="zh-CN"/>
        </w:rPr>
        <w:t>冀A2B753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