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李振峰</w:t>
      </w:r>
      <w:r>
        <w:rPr>
          <w:rFonts w:hint="eastAsia"/>
          <w:sz w:val="15"/>
          <w:szCs w:val="15"/>
          <w:highlight w:val="none"/>
        </w:rPr>
        <w:t>，</w:t>
      </w:r>
      <w:r>
        <w:rPr>
          <w:rFonts w:hint="eastAsia"/>
          <w:sz w:val="15"/>
          <w:szCs w:val="15"/>
          <w:highlight w:val="none"/>
          <w:lang w:val="en-US" w:eastAsia="zh-CN"/>
        </w:rPr>
        <w:t>132332197611273017</w:t>
      </w:r>
      <w:r>
        <w:rPr>
          <w:rFonts w:hint="eastAsia"/>
          <w:sz w:val="15"/>
          <w:szCs w:val="15"/>
        </w:rPr>
        <w:t xml:space="preserve">  </w:t>
      </w:r>
      <w:r>
        <w:rPr>
          <w:rFonts w:hint="eastAsia"/>
          <w:sz w:val="15"/>
          <w:szCs w:val="15"/>
          <w:lang w:val="en-US" w:eastAsia="zh-CN"/>
        </w:rPr>
        <w:t>冀A786MT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