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杨会永</w:t>
      </w:r>
      <w:r>
        <w:rPr>
          <w:rFonts w:hint="eastAsia"/>
          <w:sz w:val="15"/>
          <w:szCs w:val="15"/>
          <w:highlight w:val="none"/>
        </w:rPr>
        <w:t>，</w:t>
      </w:r>
      <w:r>
        <w:rPr>
          <w:rFonts w:hint="eastAsia"/>
          <w:sz w:val="15"/>
          <w:szCs w:val="15"/>
          <w:highlight w:val="none"/>
          <w:lang w:val="en-US" w:eastAsia="zh-CN"/>
        </w:rPr>
        <w:t>132329197312302414</w:t>
      </w:r>
      <w:r>
        <w:rPr>
          <w:rFonts w:hint="eastAsia"/>
          <w:sz w:val="15"/>
          <w:szCs w:val="15"/>
        </w:rPr>
        <w:t xml:space="preserve">  </w:t>
      </w:r>
      <w:r>
        <w:rPr>
          <w:rFonts w:hint="eastAsia"/>
          <w:sz w:val="15"/>
          <w:szCs w:val="15"/>
          <w:lang w:val="en-US" w:eastAsia="zh-CN"/>
        </w:rPr>
        <w:t>冀A9083E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