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杜永侠</w:t>
      </w:r>
      <w:r>
        <w:rPr>
          <w:rFonts w:hint="eastAsia"/>
          <w:sz w:val="15"/>
          <w:szCs w:val="15"/>
          <w:highlight w:val="none"/>
        </w:rPr>
        <w:t>，</w:t>
      </w:r>
      <w:r>
        <w:rPr>
          <w:rFonts w:hint="eastAsia"/>
          <w:sz w:val="15"/>
          <w:szCs w:val="15"/>
          <w:highlight w:val="none"/>
          <w:lang w:val="en-US" w:eastAsia="zh-CN"/>
        </w:rPr>
        <w:t>132325197106185012</w:t>
      </w:r>
      <w:r>
        <w:rPr>
          <w:rFonts w:hint="eastAsia"/>
          <w:sz w:val="15"/>
          <w:szCs w:val="15"/>
        </w:rPr>
        <w:t xml:space="preserve">  </w:t>
      </w:r>
      <w:r>
        <w:rPr>
          <w:rFonts w:hint="eastAsia"/>
          <w:sz w:val="15"/>
          <w:szCs w:val="15"/>
          <w:lang w:val="en-US" w:eastAsia="zh-CN"/>
        </w:rPr>
        <w:t>冀AX5740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