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徐建辉</w:t>
      </w:r>
      <w:r>
        <w:rPr>
          <w:rFonts w:hint="eastAsia"/>
          <w:sz w:val="15"/>
          <w:szCs w:val="15"/>
          <w:highlight w:val="none"/>
        </w:rPr>
        <w:t>，</w:t>
      </w:r>
      <w:r>
        <w:rPr>
          <w:rFonts w:hint="eastAsia"/>
          <w:sz w:val="15"/>
          <w:szCs w:val="15"/>
          <w:highlight w:val="none"/>
          <w:lang w:val="en-US" w:eastAsia="zh-CN"/>
        </w:rPr>
        <w:t>132324197303301434</w:t>
      </w:r>
      <w:r>
        <w:rPr>
          <w:rFonts w:hint="eastAsia"/>
          <w:sz w:val="15"/>
          <w:szCs w:val="15"/>
        </w:rPr>
        <w:t xml:space="preserve">  </w:t>
      </w:r>
      <w:r>
        <w:rPr>
          <w:rFonts w:hint="eastAsia"/>
          <w:sz w:val="15"/>
          <w:szCs w:val="15"/>
          <w:lang w:val="en-US" w:eastAsia="zh-CN"/>
        </w:rPr>
        <w:t>冀ATV386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