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赵凯军</w:t>
      </w:r>
      <w:r>
        <w:rPr>
          <w:rFonts w:hint="eastAsia"/>
          <w:sz w:val="15"/>
          <w:szCs w:val="15"/>
          <w:highlight w:val="none"/>
        </w:rPr>
        <w:t>，</w:t>
      </w:r>
      <w:r>
        <w:rPr>
          <w:rFonts w:hint="eastAsia"/>
          <w:sz w:val="15"/>
          <w:szCs w:val="15"/>
          <w:highlight w:val="none"/>
          <w:lang w:val="en-US" w:eastAsia="zh-CN"/>
        </w:rPr>
        <w:t>13232319790313061X</w:t>
      </w:r>
      <w:r>
        <w:rPr>
          <w:rFonts w:hint="eastAsia"/>
          <w:sz w:val="15"/>
          <w:szCs w:val="15"/>
        </w:rPr>
        <w:t xml:space="preserve">  </w:t>
      </w:r>
      <w:r>
        <w:rPr>
          <w:rFonts w:hint="eastAsia"/>
          <w:sz w:val="15"/>
          <w:szCs w:val="15"/>
          <w:lang w:val="en-US" w:eastAsia="zh-CN"/>
        </w:rPr>
        <w:t>冀A43639D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