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刘建伟</w:t>
      </w:r>
      <w:r>
        <w:rPr>
          <w:rFonts w:hint="eastAsia"/>
          <w:sz w:val="15"/>
          <w:szCs w:val="15"/>
          <w:highlight w:val="none"/>
        </w:rPr>
        <w:t>，</w:t>
      </w:r>
      <w:r>
        <w:rPr>
          <w:rFonts w:hint="eastAsia"/>
          <w:sz w:val="15"/>
          <w:szCs w:val="15"/>
          <w:highlight w:val="none"/>
          <w:lang w:val="en-US" w:eastAsia="zh-CN"/>
        </w:rPr>
        <w:t>132322198011170155</w:t>
      </w:r>
      <w:r>
        <w:rPr>
          <w:rFonts w:hint="eastAsia"/>
          <w:sz w:val="15"/>
          <w:szCs w:val="15"/>
        </w:rPr>
        <w:t xml:space="preserve">  </w:t>
      </w:r>
      <w:r>
        <w:rPr>
          <w:rFonts w:hint="eastAsia"/>
          <w:sz w:val="15"/>
          <w:szCs w:val="15"/>
          <w:lang w:val="en-US" w:eastAsia="zh-CN"/>
        </w:rPr>
        <w:t>冀A47391D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