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刘运丰</w:t>
      </w:r>
      <w:r>
        <w:rPr>
          <w:rFonts w:hint="eastAsia"/>
          <w:sz w:val="15"/>
          <w:szCs w:val="15"/>
          <w:highlight w:val="none"/>
        </w:rPr>
        <w:t>，</w:t>
      </w:r>
      <w:r>
        <w:rPr>
          <w:rFonts w:hint="eastAsia"/>
          <w:sz w:val="15"/>
          <w:szCs w:val="15"/>
          <w:highlight w:val="none"/>
          <w:lang w:val="en-US" w:eastAsia="zh-CN"/>
        </w:rPr>
        <w:t>132322197711230150</w:t>
      </w:r>
      <w:r>
        <w:rPr>
          <w:rFonts w:hint="eastAsia"/>
          <w:sz w:val="15"/>
          <w:szCs w:val="15"/>
        </w:rPr>
        <w:t xml:space="preserve">  </w:t>
      </w:r>
      <w:r>
        <w:rPr>
          <w:rFonts w:hint="eastAsia"/>
          <w:sz w:val="15"/>
          <w:szCs w:val="15"/>
          <w:lang w:val="en-US" w:eastAsia="zh-CN"/>
        </w:rPr>
        <w:t>冀A36361D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