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王兵科</w:t>
      </w:r>
      <w:r>
        <w:rPr>
          <w:rFonts w:hint="eastAsia"/>
          <w:sz w:val="15"/>
          <w:szCs w:val="15"/>
          <w:highlight w:val="none"/>
        </w:rPr>
        <w:t>，</w:t>
      </w:r>
      <w:r>
        <w:rPr>
          <w:rFonts w:hint="eastAsia"/>
          <w:sz w:val="15"/>
          <w:szCs w:val="15"/>
          <w:highlight w:val="none"/>
          <w:lang w:val="en-US" w:eastAsia="zh-CN"/>
        </w:rPr>
        <w:t>132322197512060435</w:t>
      </w:r>
      <w:r>
        <w:rPr>
          <w:rFonts w:hint="eastAsia"/>
          <w:sz w:val="15"/>
          <w:szCs w:val="15"/>
        </w:rPr>
        <w:t xml:space="preserve">  </w:t>
      </w:r>
      <w:r>
        <w:rPr>
          <w:rFonts w:hint="eastAsia"/>
          <w:sz w:val="15"/>
          <w:szCs w:val="15"/>
          <w:lang w:val="en-US" w:eastAsia="zh-CN"/>
        </w:rPr>
        <w:t>冀A49205D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