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岳敬波</w:t>
      </w:r>
      <w:r>
        <w:rPr>
          <w:rFonts w:hint="eastAsia"/>
          <w:sz w:val="15"/>
          <w:szCs w:val="15"/>
          <w:highlight w:val="none"/>
        </w:rPr>
        <w:t>，</w:t>
      </w:r>
      <w:r>
        <w:rPr>
          <w:rFonts w:hint="eastAsia"/>
          <w:sz w:val="15"/>
          <w:szCs w:val="15"/>
          <w:highlight w:val="none"/>
          <w:lang w:val="en-US" w:eastAsia="zh-CN"/>
        </w:rPr>
        <w:t>132322197412091277</w:t>
      </w:r>
      <w:r>
        <w:rPr>
          <w:rFonts w:hint="eastAsia"/>
          <w:sz w:val="15"/>
          <w:szCs w:val="15"/>
        </w:rPr>
        <w:t xml:space="preserve">  </w:t>
      </w:r>
      <w:r>
        <w:rPr>
          <w:rFonts w:hint="eastAsia"/>
          <w:sz w:val="15"/>
          <w:szCs w:val="15"/>
          <w:lang w:val="en-US" w:eastAsia="zh-CN"/>
        </w:rPr>
        <w:t>沪A29131A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