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李新英</w:t>
      </w:r>
      <w:r>
        <w:rPr>
          <w:rFonts w:hint="eastAsia"/>
          <w:sz w:val="15"/>
          <w:szCs w:val="15"/>
          <w:highlight w:val="none"/>
        </w:rPr>
        <w:t>，</w:t>
      </w:r>
      <w:r>
        <w:rPr>
          <w:rFonts w:hint="eastAsia"/>
          <w:sz w:val="15"/>
          <w:szCs w:val="15"/>
          <w:highlight w:val="none"/>
          <w:lang w:val="en-US" w:eastAsia="zh-CN"/>
        </w:rPr>
        <w:t>132302198104264825</w:t>
      </w:r>
      <w:r>
        <w:rPr>
          <w:rFonts w:hint="eastAsia"/>
          <w:sz w:val="15"/>
          <w:szCs w:val="15"/>
        </w:rPr>
        <w:t xml:space="preserve">  </w:t>
      </w:r>
      <w:r>
        <w:rPr>
          <w:rFonts w:hint="eastAsia"/>
          <w:sz w:val="15"/>
          <w:szCs w:val="15"/>
          <w:lang w:val="en-US" w:eastAsia="zh-CN"/>
        </w:rPr>
        <w:t>冀A677ZJ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