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南风奇</w:t>
      </w:r>
      <w:r>
        <w:rPr>
          <w:rFonts w:hint="eastAsia"/>
          <w:sz w:val="15"/>
          <w:szCs w:val="15"/>
          <w:highlight w:val="none"/>
        </w:rPr>
        <w:t>，</w:t>
      </w:r>
      <w:r>
        <w:rPr>
          <w:rFonts w:hint="eastAsia"/>
          <w:sz w:val="15"/>
          <w:szCs w:val="15"/>
          <w:highlight w:val="none"/>
          <w:lang w:val="en-US" w:eastAsia="zh-CN"/>
        </w:rPr>
        <w:t>132302197109140317</w:t>
      </w:r>
      <w:r>
        <w:rPr>
          <w:rFonts w:hint="eastAsia"/>
          <w:sz w:val="15"/>
          <w:szCs w:val="15"/>
        </w:rPr>
        <w:t xml:space="preserve">  </w:t>
      </w:r>
      <w:r>
        <w:rPr>
          <w:rFonts w:hint="eastAsia"/>
          <w:sz w:val="15"/>
          <w:szCs w:val="15"/>
          <w:lang w:val="en-US" w:eastAsia="zh-CN"/>
        </w:rPr>
        <w:t>冀AKL918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