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张亮亮</w:t>
      </w:r>
      <w:r>
        <w:rPr>
          <w:rFonts w:hint="eastAsia"/>
          <w:sz w:val="15"/>
          <w:szCs w:val="15"/>
          <w:highlight w:val="none"/>
        </w:rPr>
        <w:t>，</w:t>
      </w:r>
      <w:r>
        <w:rPr>
          <w:rFonts w:hint="eastAsia"/>
          <w:sz w:val="15"/>
          <w:szCs w:val="15"/>
          <w:highlight w:val="none"/>
          <w:lang w:val="en-US" w:eastAsia="zh-CN"/>
        </w:rPr>
        <w:t>131128199211012451</w:t>
      </w:r>
      <w:r>
        <w:rPr>
          <w:rFonts w:hint="eastAsia"/>
          <w:sz w:val="15"/>
          <w:szCs w:val="15"/>
        </w:rPr>
        <w:t xml:space="preserve">  </w:t>
      </w:r>
      <w:r>
        <w:rPr>
          <w:rFonts w:hint="eastAsia"/>
          <w:sz w:val="15"/>
          <w:szCs w:val="15"/>
          <w:lang w:val="en-US" w:eastAsia="zh-CN"/>
        </w:rPr>
        <w:t>冀TE9178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