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倪志方</w:t>
      </w:r>
      <w:r>
        <w:rPr>
          <w:rFonts w:hint="eastAsia"/>
          <w:sz w:val="15"/>
          <w:szCs w:val="15"/>
          <w:highlight w:val="none"/>
        </w:rPr>
        <w:t>，</w:t>
      </w:r>
      <w:r>
        <w:rPr>
          <w:rFonts w:hint="eastAsia"/>
          <w:sz w:val="15"/>
          <w:szCs w:val="15"/>
          <w:highlight w:val="none"/>
          <w:lang w:val="en-US" w:eastAsia="zh-CN"/>
        </w:rPr>
        <w:t>13112819890613061X</w:t>
      </w:r>
      <w:r>
        <w:rPr>
          <w:rFonts w:hint="eastAsia"/>
          <w:sz w:val="15"/>
          <w:szCs w:val="15"/>
        </w:rPr>
        <w:t xml:space="preserve">  </w:t>
      </w:r>
      <w:r>
        <w:rPr>
          <w:rFonts w:hint="eastAsia"/>
          <w:sz w:val="15"/>
          <w:szCs w:val="15"/>
          <w:lang w:val="en-US" w:eastAsia="zh-CN"/>
        </w:rPr>
        <w:t>冀EQ2476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