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李光超</w:t>
      </w:r>
      <w:r>
        <w:rPr>
          <w:rFonts w:hint="eastAsia"/>
          <w:sz w:val="15"/>
          <w:szCs w:val="15"/>
          <w:highlight w:val="none"/>
        </w:rPr>
        <w:t>，</w:t>
      </w:r>
      <w:r>
        <w:rPr>
          <w:rFonts w:hint="eastAsia"/>
          <w:sz w:val="15"/>
          <w:szCs w:val="15"/>
          <w:highlight w:val="none"/>
          <w:lang w:val="en-US" w:eastAsia="zh-CN"/>
        </w:rPr>
        <w:t>131128198810021355</w:t>
      </w:r>
      <w:r>
        <w:rPr>
          <w:rFonts w:hint="eastAsia"/>
          <w:sz w:val="15"/>
          <w:szCs w:val="15"/>
        </w:rPr>
        <w:t xml:space="preserve">  </w:t>
      </w:r>
      <w:r>
        <w:rPr>
          <w:rFonts w:hint="eastAsia"/>
          <w:sz w:val="15"/>
          <w:szCs w:val="15"/>
          <w:lang w:val="en-US" w:eastAsia="zh-CN"/>
        </w:rPr>
        <w:t>冀TX8738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