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白飞飞</w:t>
      </w:r>
      <w:r>
        <w:rPr>
          <w:rFonts w:hint="eastAsia"/>
          <w:sz w:val="15"/>
          <w:szCs w:val="15"/>
          <w:highlight w:val="none"/>
        </w:rPr>
        <w:t>，</w:t>
      </w:r>
      <w:r>
        <w:rPr>
          <w:rFonts w:hint="eastAsia"/>
          <w:sz w:val="15"/>
          <w:szCs w:val="15"/>
          <w:highlight w:val="none"/>
          <w:lang w:val="en-US" w:eastAsia="zh-CN"/>
        </w:rPr>
        <w:t>131128198507163975</w:t>
      </w:r>
      <w:r>
        <w:rPr>
          <w:rFonts w:hint="eastAsia"/>
          <w:sz w:val="15"/>
          <w:szCs w:val="15"/>
        </w:rPr>
        <w:t xml:space="preserve">  </w:t>
      </w:r>
      <w:r>
        <w:rPr>
          <w:rFonts w:hint="eastAsia"/>
          <w:sz w:val="15"/>
          <w:szCs w:val="15"/>
          <w:lang w:val="en-US" w:eastAsia="zh-CN"/>
        </w:rPr>
        <w:t>冀TD9530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