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周冀智</w:t>
      </w:r>
      <w:r>
        <w:rPr>
          <w:rFonts w:hint="eastAsia"/>
          <w:sz w:val="15"/>
          <w:szCs w:val="15"/>
          <w:highlight w:val="none"/>
        </w:rPr>
        <w:t>，</w:t>
      </w:r>
      <w:r>
        <w:rPr>
          <w:rFonts w:hint="eastAsia"/>
          <w:sz w:val="15"/>
          <w:szCs w:val="15"/>
          <w:highlight w:val="none"/>
          <w:lang w:val="en-US" w:eastAsia="zh-CN"/>
        </w:rPr>
        <w:t>131128198305040619</w:t>
      </w:r>
      <w:r>
        <w:rPr>
          <w:rFonts w:hint="eastAsia"/>
          <w:sz w:val="15"/>
          <w:szCs w:val="15"/>
        </w:rPr>
        <w:t xml:space="preserve">  </w:t>
      </w:r>
      <w:r>
        <w:rPr>
          <w:rFonts w:hint="eastAsia"/>
          <w:sz w:val="15"/>
          <w:szCs w:val="15"/>
          <w:lang w:val="en-US" w:eastAsia="zh-CN"/>
        </w:rPr>
        <w:t>冀TM6386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