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倪灵丽</w:t>
      </w:r>
      <w:r>
        <w:rPr>
          <w:rFonts w:hint="eastAsia"/>
          <w:sz w:val="15"/>
          <w:szCs w:val="15"/>
          <w:highlight w:val="none"/>
        </w:rPr>
        <w:t>，</w:t>
      </w:r>
      <w:r>
        <w:rPr>
          <w:rFonts w:hint="eastAsia"/>
          <w:sz w:val="15"/>
          <w:szCs w:val="15"/>
          <w:highlight w:val="none"/>
          <w:lang w:val="en-US" w:eastAsia="zh-CN"/>
        </w:rPr>
        <w:t>131128198206250645</w:t>
      </w:r>
      <w:r>
        <w:rPr>
          <w:rFonts w:hint="eastAsia"/>
          <w:sz w:val="15"/>
          <w:szCs w:val="15"/>
        </w:rPr>
        <w:t xml:space="preserve">  </w:t>
      </w:r>
      <w:r>
        <w:rPr>
          <w:rFonts w:hint="eastAsia"/>
          <w:sz w:val="15"/>
          <w:szCs w:val="15"/>
          <w:lang w:val="en-US" w:eastAsia="zh-CN"/>
        </w:rPr>
        <w:t>冀T61925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