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倪文利</w:t>
      </w:r>
      <w:r>
        <w:rPr>
          <w:rFonts w:hint="eastAsia"/>
          <w:sz w:val="15"/>
          <w:szCs w:val="15"/>
          <w:highlight w:val="none"/>
        </w:rPr>
        <w:t>，</w:t>
      </w:r>
      <w:r>
        <w:rPr>
          <w:rFonts w:hint="eastAsia"/>
          <w:sz w:val="15"/>
          <w:szCs w:val="15"/>
          <w:highlight w:val="none"/>
          <w:lang w:val="en-US" w:eastAsia="zh-CN"/>
        </w:rPr>
        <w:t>13112819801024063X</w:t>
      </w:r>
      <w:r>
        <w:rPr>
          <w:rFonts w:hint="eastAsia"/>
          <w:sz w:val="15"/>
          <w:szCs w:val="15"/>
        </w:rPr>
        <w:t xml:space="preserve">  </w:t>
      </w:r>
      <w:r>
        <w:rPr>
          <w:rFonts w:hint="eastAsia"/>
          <w:sz w:val="15"/>
          <w:szCs w:val="15"/>
          <w:lang w:val="en-US" w:eastAsia="zh-CN"/>
        </w:rPr>
        <w:t>冀T03399D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