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李立泉</w:t>
      </w:r>
      <w:r>
        <w:rPr>
          <w:rFonts w:hint="eastAsia"/>
          <w:sz w:val="15"/>
          <w:szCs w:val="15"/>
          <w:highlight w:val="none"/>
        </w:rPr>
        <w:t>，</w:t>
      </w:r>
      <w:r>
        <w:rPr>
          <w:rFonts w:hint="eastAsia"/>
          <w:sz w:val="15"/>
          <w:szCs w:val="15"/>
          <w:highlight w:val="none"/>
          <w:lang w:val="en-US" w:eastAsia="zh-CN"/>
        </w:rPr>
        <w:t>131128197610141219</w:t>
      </w:r>
      <w:r>
        <w:rPr>
          <w:rFonts w:hint="eastAsia"/>
          <w:sz w:val="15"/>
          <w:szCs w:val="15"/>
        </w:rPr>
        <w:t xml:space="preserve">  </w:t>
      </w:r>
      <w:r>
        <w:rPr>
          <w:rFonts w:hint="eastAsia"/>
          <w:sz w:val="15"/>
          <w:szCs w:val="15"/>
          <w:lang w:val="en-US" w:eastAsia="zh-CN"/>
        </w:rPr>
        <w:t>冀J6N998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