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王宝龙</w:t>
      </w:r>
      <w:r>
        <w:rPr>
          <w:rFonts w:hint="eastAsia"/>
          <w:sz w:val="15"/>
          <w:szCs w:val="15"/>
          <w:highlight w:val="none"/>
        </w:rPr>
        <w:t>，</w:t>
      </w:r>
      <w:r>
        <w:rPr>
          <w:rFonts w:hint="eastAsia"/>
          <w:sz w:val="15"/>
          <w:szCs w:val="15"/>
          <w:highlight w:val="none"/>
          <w:lang w:val="en-US" w:eastAsia="zh-CN"/>
        </w:rPr>
        <w:t>131128197403060635</w:t>
      </w:r>
      <w:r>
        <w:rPr>
          <w:rFonts w:hint="eastAsia"/>
          <w:sz w:val="15"/>
          <w:szCs w:val="15"/>
        </w:rPr>
        <w:t xml:space="preserve">  </w:t>
      </w:r>
      <w:r>
        <w:rPr>
          <w:rFonts w:hint="eastAsia"/>
          <w:sz w:val="15"/>
          <w:szCs w:val="15"/>
          <w:lang w:val="en-US" w:eastAsia="zh-CN"/>
        </w:rPr>
        <w:t>晋KH3991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