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刘帅</w:t>
      </w:r>
      <w:r>
        <w:rPr>
          <w:rFonts w:hint="eastAsia"/>
          <w:sz w:val="15"/>
          <w:szCs w:val="15"/>
          <w:highlight w:val="none"/>
        </w:rPr>
        <w:t>，</w:t>
      </w:r>
      <w:r>
        <w:rPr>
          <w:rFonts w:hint="eastAsia"/>
          <w:sz w:val="15"/>
          <w:szCs w:val="15"/>
          <w:highlight w:val="none"/>
          <w:lang w:val="en-US" w:eastAsia="zh-CN"/>
        </w:rPr>
        <w:t>131127198508250951</w:t>
      </w:r>
      <w:r>
        <w:rPr>
          <w:rFonts w:hint="eastAsia"/>
          <w:sz w:val="15"/>
          <w:szCs w:val="15"/>
        </w:rPr>
        <w:t xml:space="preserve">  </w:t>
      </w:r>
      <w:r>
        <w:rPr>
          <w:rFonts w:hint="eastAsia"/>
          <w:sz w:val="15"/>
          <w:szCs w:val="15"/>
          <w:lang w:val="en-US" w:eastAsia="zh-CN"/>
        </w:rPr>
        <w:t>冀T76013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