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于登伟</w:t>
      </w:r>
      <w:r>
        <w:rPr>
          <w:rFonts w:hint="eastAsia"/>
          <w:sz w:val="15"/>
          <w:szCs w:val="15"/>
          <w:highlight w:val="none"/>
        </w:rPr>
        <w:t>，</w:t>
      </w:r>
      <w:r>
        <w:rPr>
          <w:rFonts w:hint="eastAsia"/>
          <w:sz w:val="15"/>
          <w:szCs w:val="15"/>
          <w:highlight w:val="none"/>
          <w:lang w:val="en-US" w:eastAsia="zh-CN"/>
        </w:rPr>
        <w:t>13112219871025281X</w:t>
      </w:r>
      <w:r>
        <w:rPr>
          <w:rFonts w:hint="eastAsia"/>
          <w:sz w:val="15"/>
          <w:szCs w:val="15"/>
        </w:rPr>
        <w:t xml:space="preserve">  </w:t>
      </w:r>
      <w:r>
        <w:rPr>
          <w:rFonts w:hint="eastAsia"/>
          <w:sz w:val="15"/>
          <w:szCs w:val="15"/>
          <w:lang w:val="en-US" w:eastAsia="zh-CN"/>
        </w:rPr>
        <w:t>冀A5297Y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