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王锴</w:t>
      </w:r>
      <w:r>
        <w:rPr>
          <w:rFonts w:hint="eastAsia"/>
          <w:sz w:val="15"/>
          <w:szCs w:val="15"/>
          <w:highlight w:val="none"/>
        </w:rPr>
        <w:t>，</w:t>
      </w:r>
      <w:r>
        <w:rPr>
          <w:rFonts w:hint="eastAsia"/>
          <w:sz w:val="15"/>
          <w:szCs w:val="15"/>
          <w:highlight w:val="none"/>
          <w:lang w:val="en-US" w:eastAsia="zh-CN"/>
        </w:rPr>
        <w:t>131122198511142212</w:t>
      </w:r>
      <w:r>
        <w:rPr>
          <w:rFonts w:hint="eastAsia"/>
          <w:sz w:val="15"/>
          <w:szCs w:val="15"/>
        </w:rPr>
        <w:t xml:space="preserve">  </w:t>
      </w:r>
      <w:r>
        <w:rPr>
          <w:rFonts w:hint="eastAsia"/>
          <w:sz w:val="15"/>
          <w:szCs w:val="15"/>
          <w:lang w:val="en-US" w:eastAsia="zh-CN"/>
        </w:rPr>
        <w:t>冀TD5305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