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赵中杰</w:t>
      </w:r>
      <w:r>
        <w:rPr>
          <w:rFonts w:hint="eastAsia"/>
          <w:sz w:val="15"/>
          <w:szCs w:val="15"/>
          <w:highlight w:val="none"/>
        </w:rPr>
        <w:t>，</w:t>
      </w:r>
      <w:r>
        <w:rPr>
          <w:rFonts w:hint="eastAsia"/>
          <w:sz w:val="15"/>
          <w:szCs w:val="15"/>
          <w:highlight w:val="none"/>
          <w:lang w:val="en-US" w:eastAsia="zh-CN"/>
        </w:rPr>
        <w:t>131122198307050417</w:t>
      </w:r>
      <w:r>
        <w:rPr>
          <w:rFonts w:hint="eastAsia"/>
          <w:sz w:val="15"/>
          <w:szCs w:val="15"/>
        </w:rPr>
        <w:t xml:space="preserve">  </w:t>
      </w:r>
      <w:r>
        <w:rPr>
          <w:rFonts w:hint="eastAsia"/>
          <w:sz w:val="15"/>
          <w:szCs w:val="15"/>
          <w:lang w:val="en-US" w:eastAsia="zh-CN"/>
        </w:rPr>
        <w:t>冀TL6039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