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董凤青</w:t>
      </w:r>
      <w:r>
        <w:rPr>
          <w:rFonts w:hint="eastAsia"/>
          <w:sz w:val="15"/>
          <w:szCs w:val="15"/>
          <w:highlight w:val="none"/>
        </w:rPr>
        <w:t>，</w:t>
      </w:r>
      <w:r>
        <w:rPr>
          <w:rFonts w:hint="eastAsia"/>
          <w:sz w:val="15"/>
          <w:szCs w:val="15"/>
          <w:highlight w:val="none"/>
          <w:lang w:val="en-US" w:eastAsia="zh-CN"/>
        </w:rPr>
        <w:t>131122198304102218</w:t>
      </w:r>
      <w:r>
        <w:rPr>
          <w:rFonts w:hint="eastAsia"/>
          <w:sz w:val="15"/>
          <w:szCs w:val="15"/>
        </w:rPr>
        <w:t xml:space="preserve">  </w:t>
      </w:r>
      <w:r>
        <w:rPr>
          <w:rFonts w:hint="eastAsia"/>
          <w:sz w:val="15"/>
          <w:szCs w:val="15"/>
          <w:lang w:val="en-US" w:eastAsia="zh-CN"/>
        </w:rPr>
        <w:t>冀TU0226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