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周文强</w:t>
      </w:r>
      <w:r>
        <w:rPr>
          <w:rFonts w:hint="eastAsia"/>
          <w:sz w:val="15"/>
          <w:szCs w:val="15"/>
          <w:highlight w:val="none"/>
        </w:rPr>
        <w:t>，</w:t>
      </w:r>
      <w:r>
        <w:rPr>
          <w:rFonts w:hint="eastAsia"/>
          <w:sz w:val="15"/>
          <w:szCs w:val="15"/>
          <w:highlight w:val="none"/>
          <w:lang w:val="en-US" w:eastAsia="zh-CN"/>
        </w:rPr>
        <w:t>131122198102051213</w:t>
      </w:r>
      <w:r>
        <w:rPr>
          <w:rFonts w:hint="eastAsia"/>
          <w:sz w:val="15"/>
          <w:szCs w:val="15"/>
        </w:rPr>
        <w:t xml:space="preserve">  </w:t>
      </w:r>
      <w:r>
        <w:rPr>
          <w:rFonts w:hint="eastAsia"/>
          <w:sz w:val="15"/>
          <w:szCs w:val="15"/>
          <w:lang w:val="en-US" w:eastAsia="zh-CN"/>
        </w:rPr>
        <w:t>冀T67682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