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褚庆丰</w:t>
      </w:r>
      <w:r>
        <w:rPr>
          <w:rFonts w:hint="eastAsia"/>
          <w:sz w:val="15"/>
          <w:szCs w:val="15"/>
          <w:highlight w:val="none"/>
        </w:rPr>
        <w:t>，</w:t>
      </w:r>
      <w:r>
        <w:rPr>
          <w:rFonts w:hint="eastAsia"/>
          <w:sz w:val="15"/>
          <w:szCs w:val="15"/>
          <w:highlight w:val="none"/>
          <w:lang w:val="en-US" w:eastAsia="zh-CN"/>
        </w:rPr>
        <w:t>130981198112146614</w:t>
      </w:r>
      <w:r>
        <w:rPr>
          <w:rFonts w:hint="eastAsia"/>
          <w:sz w:val="15"/>
          <w:szCs w:val="15"/>
        </w:rPr>
        <w:t xml:space="preserve">  </w:t>
      </w:r>
      <w:r>
        <w:rPr>
          <w:rFonts w:hint="eastAsia"/>
          <w:sz w:val="15"/>
          <w:szCs w:val="15"/>
          <w:lang w:val="en-US" w:eastAsia="zh-CN"/>
        </w:rPr>
        <w:t>冀TJ2206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