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及凤军</w:t>
      </w:r>
      <w:r>
        <w:rPr>
          <w:rFonts w:hint="eastAsia"/>
          <w:sz w:val="15"/>
          <w:szCs w:val="15"/>
          <w:highlight w:val="none"/>
        </w:rPr>
        <w:t>，</w:t>
      </w:r>
      <w:r>
        <w:rPr>
          <w:rFonts w:hint="eastAsia"/>
          <w:sz w:val="15"/>
          <w:szCs w:val="15"/>
          <w:highlight w:val="none"/>
          <w:lang w:val="en-US" w:eastAsia="zh-CN"/>
        </w:rPr>
        <w:t>130981196703303416</w:t>
      </w:r>
      <w:r>
        <w:rPr>
          <w:rFonts w:hint="eastAsia"/>
          <w:sz w:val="15"/>
          <w:szCs w:val="15"/>
        </w:rPr>
        <w:t xml:space="preserve">  </w:t>
      </w:r>
      <w:r>
        <w:rPr>
          <w:rFonts w:hint="eastAsia"/>
          <w:sz w:val="15"/>
          <w:szCs w:val="15"/>
          <w:lang w:val="en-US" w:eastAsia="zh-CN"/>
        </w:rPr>
        <w:t>冀TG9882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