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白国忠</w:t>
      </w:r>
      <w:r>
        <w:rPr>
          <w:rFonts w:hint="eastAsia"/>
          <w:sz w:val="15"/>
          <w:szCs w:val="15"/>
          <w:highlight w:val="none"/>
        </w:rPr>
        <w:t>，</w:t>
      </w:r>
      <w:r>
        <w:rPr>
          <w:rFonts w:hint="eastAsia"/>
          <w:sz w:val="15"/>
          <w:szCs w:val="15"/>
          <w:highlight w:val="none"/>
          <w:lang w:val="en-US" w:eastAsia="zh-CN"/>
        </w:rPr>
        <w:t>130921198205012619</w:t>
      </w:r>
      <w:r>
        <w:rPr>
          <w:rFonts w:hint="eastAsia"/>
          <w:sz w:val="15"/>
          <w:szCs w:val="15"/>
        </w:rPr>
        <w:t xml:space="preserve">  </w:t>
      </w:r>
      <w:r>
        <w:rPr>
          <w:rFonts w:hint="eastAsia"/>
          <w:sz w:val="15"/>
          <w:szCs w:val="15"/>
          <w:lang w:val="en-US" w:eastAsia="zh-CN"/>
        </w:rPr>
        <w:t>冀J9N825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