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张永真</w:t>
      </w:r>
      <w:r>
        <w:rPr>
          <w:rFonts w:hint="eastAsia"/>
          <w:sz w:val="15"/>
          <w:szCs w:val="15"/>
          <w:highlight w:val="none"/>
        </w:rPr>
        <w:t>，</w:t>
      </w:r>
      <w:r>
        <w:rPr>
          <w:rFonts w:hint="eastAsia"/>
          <w:sz w:val="15"/>
          <w:szCs w:val="15"/>
          <w:highlight w:val="none"/>
          <w:lang w:val="en-US" w:eastAsia="zh-CN"/>
        </w:rPr>
        <w:t>130921198004023012</w:t>
      </w:r>
      <w:r>
        <w:rPr>
          <w:rFonts w:hint="eastAsia"/>
          <w:sz w:val="15"/>
          <w:szCs w:val="15"/>
        </w:rPr>
        <w:t xml:space="preserve">  </w:t>
      </w:r>
      <w:r>
        <w:rPr>
          <w:rFonts w:hint="eastAsia"/>
          <w:sz w:val="15"/>
          <w:szCs w:val="15"/>
          <w:lang w:val="en-US" w:eastAsia="zh-CN"/>
        </w:rPr>
        <w:t>冀J1S889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