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王红杰</w:t>
      </w:r>
      <w:r>
        <w:rPr>
          <w:rFonts w:hint="eastAsia"/>
          <w:sz w:val="15"/>
          <w:szCs w:val="15"/>
          <w:highlight w:val="none"/>
        </w:rPr>
        <w:t>，</w:t>
      </w:r>
      <w:r>
        <w:rPr>
          <w:rFonts w:hint="eastAsia"/>
          <w:sz w:val="15"/>
          <w:szCs w:val="15"/>
          <w:highlight w:val="none"/>
          <w:lang w:val="en-US" w:eastAsia="zh-CN"/>
        </w:rPr>
        <w:t>130631198801151232</w:t>
      </w:r>
      <w:r>
        <w:rPr>
          <w:rFonts w:hint="eastAsia"/>
          <w:sz w:val="15"/>
          <w:szCs w:val="15"/>
        </w:rPr>
        <w:t xml:space="preserve">  </w:t>
      </w:r>
      <w:r>
        <w:rPr>
          <w:rFonts w:hint="eastAsia"/>
          <w:sz w:val="15"/>
          <w:szCs w:val="15"/>
          <w:lang w:val="en-US" w:eastAsia="zh-CN"/>
        </w:rPr>
        <w:t>冀FW2814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