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张金龙</w:t>
      </w:r>
      <w:r>
        <w:rPr>
          <w:rFonts w:hint="eastAsia"/>
          <w:sz w:val="15"/>
          <w:szCs w:val="15"/>
          <w:highlight w:val="none"/>
        </w:rPr>
        <w:t>，</w:t>
      </w:r>
      <w:r>
        <w:rPr>
          <w:rFonts w:hint="eastAsia"/>
          <w:sz w:val="15"/>
          <w:szCs w:val="15"/>
          <w:highlight w:val="none"/>
          <w:lang w:val="en-US" w:eastAsia="zh-CN"/>
        </w:rPr>
        <w:t>130627197509220692</w:t>
      </w:r>
      <w:r>
        <w:rPr>
          <w:rFonts w:hint="eastAsia"/>
          <w:sz w:val="15"/>
          <w:szCs w:val="15"/>
        </w:rPr>
        <w:t xml:space="preserve">  </w:t>
      </w:r>
      <w:r>
        <w:rPr>
          <w:rFonts w:hint="eastAsia"/>
          <w:sz w:val="15"/>
          <w:szCs w:val="15"/>
          <w:lang w:val="en-US" w:eastAsia="zh-CN"/>
        </w:rPr>
        <w:t>冀FY2244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