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赵伟</w:t>
      </w:r>
      <w:r>
        <w:rPr>
          <w:rFonts w:hint="eastAsia"/>
          <w:sz w:val="15"/>
          <w:szCs w:val="15"/>
          <w:highlight w:val="none"/>
        </w:rPr>
        <w:t>，</w:t>
      </w:r>
      <w:r>
        <w:rPr>
          <w:rFonts w:hint="eastAsia"/>
          <w:sz w:val="15"/>
          <w:szCs w:val="15"/>
          <w:highlight w:val="none"/>
          <w:lang w:val="en-US" w:eastAsia="zh-CN"/>
        </w:rPr>
        <w:t>130527199004011899</w:t>
      </w:r>
      <w:r>
        <w:rPr>
          <w:rFonts w:hint="eastAsia"/>
          <w:sz w:val="15"/>
          <w:szCs w:val="15"/>
        </w:rPr>
        <w:t xml:space="preserve">  </w:t>
      </w:r>
      <w:r>
        <w:rPr>
          <w:rFonts w:hint="eastAsia"/>
          <w:sz w:val="15"/>
          <w:szCs w:val="15"/>
          <w:lang w:val="en-US" w:eastAsia="zh-CN"/>
        </w:rPr>
        <w:t>冀E09778D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